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26.999999999998" w:type="dxa"/>
        <w:jc w:val="left"/>
        <w:tblInd w:w="0.0" w:type="dxa"/>
        <w:tblLayout w:type="fixed"/>
        <w:tblLook w:val="0000"/>
      </w:tblPr>
      <w:tblGrid>
        <w:gridCol w:w="7213"/>
        <w:gridCol w:w="7214"/>
        <w:tblGridChange w:id="0">
          <w:tblGrid>
            <w:gridCol w:w="7213"/>
            <w:gridCol w:w="7214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/>
              <w:pict>
                <v:shape id="Immagine 3" style="width:234pt;height:102.6pt;visibility:visible;mso-position-horizontal-relative:char;mso-position-vertical-relative:line" o:spid="_x0000_i1025" type="#_x0000_t75">
                  <v:imagedata r:id="rId1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/>
              <w:pict>
                <v:shape id="Immagine 4" style="width:150.6pt;height:65.4pt;visibility:visible;mso-position-horizontal-relative:char;mso-position-vertical-relative:line" o:spid="_x0000_i1026" type="#_x0000_t75">
                  <v:imagedata r:id="rId2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Format vuoto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per l’adattamento dei programmi disciplinari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in riferimento ai livelli di lingua</w:t>
      </w:r>
    </w:p>
    <w:p w:rsidR="00000000" w:rsidDel="00000000" w:rsidP="00000000" w:rsidRDefault="00000000" w:rsidRPr="00000000" w14:paraId="00000008">
      <w:pPr>
        <w:spacing w:after="0" w:line="240" w:lineRule="auto"/>
        <w:ind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  <w:tab w:val="right" w:pos="9900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494949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xiqqee4zv2mx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494949"/>
          <w:sz w:val="16"/>
          <w:szCs w:val="16"/>
          <w:u w:val="none"/>
          <w:shd w:fill="auto" w:val="clear"/>
          <w:vertAlign w:val="baseline"/>
          <w:rtl w:val="0"/>
        </w:rPr>
        <w:t xml:space="preserve">Progetto co-finanziato dall’Unione Europea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  <w:tab w:val="right" w:pos="990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9494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center"/>
        <w:tblBorders>
          <w:bottom w:color="808080" w:space="0" w:sz="8" w:val="single"/>
        </w:tblBorders>
        <w:tblLayout w:type="fixed"/>
        <w:tblLook w:val="0000"/>
      </w:tblPr>
      <w:tblGrid>
        <w:gridCol w:w="2418"/>
        <w:gridCol w:w="2200"/>
        <w:gridCol w:w="2690"/>
        <w:gridCol w:w="2700"/>
        <w:tblGridChange w:id="0">
          <w:tblGrid>
            <w:gridCol w:w="2418"/>
            <w:gridCol w:w="2200"/>
            <w:gridCol w:w="2690"/>
            <w:gridCol w:w="2700"/>
          </w:tblGrid>
        </w:tblGridChange>
      </w:tblGrid>
      <w:tr>
        <w:trPr>
          <w:trHeight w:val="113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pos="1148"/>
              </w:tabs>
              <w:spacing w:after="0" w:line="240" w:lineRule="auto"/>
              <w:jc w:val="center"/>
              <w:rPr>
                <w:color w:val="49494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pos="1148"/>
              </w:tabs>
              <w:spacing w:after="0" w:line="240" w:lineRule="auto"/>
              <w:jc w:val="center"/>
              <w:rPr>
                <w:color w:val="494949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381000</wp:posOffset>
                      </wp:positionV>
                      <wp:extent cx="570865" cy="257809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785420" y="3655858"/>
                                <a:ext cx="561340" cy="248284"/>
                              </a:xfrm>
                              <a:custGeom>
                                <a:rect b="b" l="l" r="r" t="t"/>
                                <a:pathLst>
                                  <a:path extrusionOk="0" h="248284" w="561340">
                                    <a:moveTo>
                                      <a:pt x="0" y="0"/>
                                    </a:moveTo>
                                    <a:lnTo>
                                      <a:pt x="0" y="248284"/>
                                    </a:lnTo>
                                    <a:lnTo>
                                      <a:pt x="561340" y="248284"/>
                                    </a:lnTo>
                                    <a:lnTo>
                                      <a:pt x="56134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22.999999523162842" w:right="0" w:firstLine="22.999999523162842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alatino Linotype" w:cs="Palatino Linotype" w:eastAsia="Palatino Linotype" w:hAnsi="Palatino Linotyp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UNIONE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22.999999523162842" w:right="0" w:firstLine="22.999999523162842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alatino Linotype" w:cs="Palatino Linotype" w:eastAsia="Palatino Linotype" w:hAnsi="Palatino Linotyp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Palatino Linotype" w:cs="Palatino Linotype" w:eastAsia="Palatino Linotype" w:hAnsi="Palatino Linotyp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EUROPEA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381000</wp:posOffset>
                      </wp:positionV>
                      <wp:extent cx="570865" cy="257809"/>
                      <wp:effectExtent b="0" l="0" r="0" t="0"/>
                      <wp:wrapSquare wrapText="bothSides" distB="0" distT="0" distL="114300" distR="114300"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0865" cy="2578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pict>
                <v:shape id="_x0000_s1027" style="position:absolute;left:0;text-align:left;margin-left:10.8pt;margin-top:13.05pt;width:59.4pt;height:38.95pt;z-index:-251660800;visibility:visible;mso-wrap-distance-left:0;mso-wrap-distance-right:0;mso-position-horizontal-relative:margin;mso-position-vertical-relative:text;mso-position-horizontal:absolute;mso-position-vertical:absolute;" wrapcoords="-273 0 -273 21185 21600 21185 21600 0 -273 0" type="#_x0000_t75">
                  <v:imagedata r:id="rId3" o:title=""/>
                  <w10:wrap type="tight"/>
                </v:shape>
              </w:pic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tabs>
                <w:tab w:val="left" w:pos="1148"/>
              </w:tabs>
              <w:spacing w:after="0" w:line="240" w:lineRule="auto"/>
              <w:jc w:val="center"/>
              <w:rPr>
                <w:color w:val="494949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_x0000_s1028" style="position:absolute;left:0;text-align:left;margin-left:38.59992125984252pt;margin-top:4.25pt;width:22pt;height:36pt;z-index:251657728;mso-position-horizontal-relative:margin;mso-position-vertical-relative:text;mso-position-horizontal:absolute;mso-position-vertical:absolute;" type="#_x0000_t75">
                  <v:imagedata r:id="rId4" o:title=""/>
                </v:shape>
              </w:pict>
            </w:r>
          </w:p>
          <w:p w:rsidR="00000000" w:rsidDel="00000000" w:rsidP="00000000" w:rsidRDefault="00000000" w:rsidRPr="00000000" w14:paraId="00000010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494949"/>
                <w:sz w:val="16"/>
                <w:szCs w:val="16"/>
                <w:rtl w:val="0"/>
              </w:rPr>
              <w:t xml:space="preserve">provincia autonoma di trento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_x0000_s1029" style="position:absolute;left:0;text-align:left;margin-left:33.09992125984252pt;margin-top:-4.94992125984252pt;width:52.5pt;height:38.9pt;z-index:251658752;visibility:visible;mso-position-horizontal:absolute;mso-position-vertical:absolute;mso-position-horizontal-relative:margin;mso-position-vertical-relative:text;" alt="Macintosh HD:Users:xedum:Desktop:logo.jpg" type="#_x0000_t75">
                  <v:imagedata r:id="rId5" o:title=""/>
                </v:shape>
              </w:pict>
            </w:r>
          </w:p>
          <w:p w:rsidR="00000000" w:rsidDel="00000000" w:rsidP="00000000" w:rsidRDefault="00000000" w:rsidRPr="00000000" w14:paraId="00000018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Direzione generale dell’immigrazione</w:t>
            </w:r>
          </w:p>
          <w:p w:rsidR="00000000" w:rsidDel="00000000" w:rsidP="00000000" w:rsidRDefault="00000000" w:rsidRPr="00000000" w14:paraId="0000001C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 delle politiche di integrazione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494949"/>
                <w:sz w:val="16"/>
                <w:szCs w:val="16"/>
                <w:rtl w:val="0"/>
              </w:rPr>
              <w:t xml:space="preserve">AUTORITA’ DELEGATA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_x0000_s1030" style="position:absolute;left:0;text-align:left;margin-left:18.0pt;margin-top:7.1pt;width:102.5pt;height:34.35pt;z-index:251659776;visibility:visible;mso-wrap-distance-left:0;mso-wrap-distance-right:0;mso-position-horizontal-relative:margin;mso-position-vertical-relative:text;mso-position-horizontal:absolute;mso-position-vertical:absolute;" type="#_x0000_t75">
                  <v:imagedata r:id="rId6" o:title=""/>
                  <w10:wrap/>
                </v:shape>
              </w:pict>
            </w:r>
          </w:p>
          <w:p w:rsidR="00000000" w:rsidDel="00000000" w:rsidP="00000000" w:rsidRDefault="00000000" w:rsidRPr="00000000" w14:paraId="0000001F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148"/>
                <w:tab w:val="center" w:pos="1184"/>
                <w:tab w:val="right" w:pos="2369"/>
              </w:tabs>
              <w:spacing w:after="0" w:line="240" w:lineRule="auto"/>
              <w:jc w:val="center"/>
              <w:rPr>
                <w:smallCaps w:val="1"/>
                <w:color w:val="49494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494949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494949"/>
                <w:sz w:val="16"/>
                <w:szCs w:val="16"/>
                <w:rtl w:val="0"/>
              </w:rPr>
              <w:t xml:space="preserve">AUTORITA’ RESPONSABILE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  <w:tab w:val="right" w:pos="990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9494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  <w:tab w:val="right" w:pos="990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9494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94949"/>
          <w:sz w:val="20"/>
          <w:szCs w:val="20"/>
          <w:u w:val="none"/>
          <w:shd w:fill="auto" w:val="clear"/>
          <w:vertAlign w:val="baseline"/>
          <w:rtl w:val="0"/>
        </w:rPr>
        <w:t xml:space="preserve">FONDO ASILO, MIGRAZIONE E INTEGRAZIONE  (FAMI)  2014-2020</w:t>
      </w:r>
    </w:p>
    <w:p w:rsidR="00000000" w:rsidDel="00000000" w:rsidP="00000000" w:rsidRDefault="00000000" w:rsidRPr="00000000" w14:paraId="00000026">
      <w:pPr>
        <w:rPr>
          <w:rFonts w:ascii="Meiryo UI" w:cs="Meiryo UI" w:eastAsia="Meiryo UI" w:hAnsi="Meiryo U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Disciplina: ___________________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Scuola e classe: ___________________ </w:t>
      </w:r>
    </w:p>
    <w:p w:rsidR="00000000" w:rsidDel="00000000" w:rsidP="00000000" w:rsidRDefault="00000000" w:rsidRPr="00000000" w14:paraId="00000029">
      <w:pPr>
        <w:rPr>
          <w:rFonts w:ascii="Meiryo UI" w:cs="Meiryo UI" w:eastAsia="Meiryo UI" w:hAnsi="Meiryo U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1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393"/>
        <w:gridCol w:w="2844"/>
        <w:gridCol w:w="4678"/>
        <w:gridCol w:w="3827"/>
        <w:tblGridChange w:id="0">
          <w:tblGrid>
            <w:gridCol w:w="675"/>
            <w:gridCol w:w="3393"/>
            <w:gridCol w:w="2844"/>
            <w:gridCol w:w="4678"/>
            <w:gridCol w:w="3827"/>
          </w:tblGrid>
        </w:tblGridChange>
      </w:tblGrid>
      <w:tr>
        <w:trPr>
          <w:trHeight w:val="650" w:hRule="atLeast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center"/>
              <w:rPr>
                <w:rFonts w:ascii="Ebrima" w:cs="Ebrima" w:eastAsia="Ebrima" w:hAnsi="Ebrima"/>
                <w:b w:val="1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Ebrima" w:cs="Ebrima" w:eastAsia="Ebrima" w:hAnsi="Ebrima"/>
                <w:b w:val="1"/>
                <w:color w:val="548dd4"/>
                <w:sz w:val="20"/>
                <w:szCs w:val="20"/>
                <w:rtl w:val="0"/>
              </w:rPr>
              <w:t xml:space="preserve">LIV.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Riferimento ai descrittori del Quadro Comune Europeo come orizzonte di azione e di senso.</w:t>
            </w:r>
          </w:p>
        </w:tc>
      </w:tr>
      <w:t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3b323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  <w:rtl w:val="0"/>
              </w:rPr>
              <w:t xml:space="preserve">Competenze disciplinari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3b323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  <w:rtl w:val="0"/>
              </w:rPr>
              <w:t xml:space="preserve">Abilità disciplinari correlate al livello di 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  <w:rtl w:val="0"/>
              </w:rPr>
              <w:t xml:space="preserve">Conoscenze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Riferimento alle Linee guida dei Piani di studio provinciali del 2° ciclo di istruzione, e relativi materiali, e ai Piani di studio provinciali dei percorsi triennali e quadriennali di Istruzione e Formazione professionale.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3b323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ind w:left="720" w:firstLine="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Riferimento alle seguenti abilità: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before="120" w:line="240" w:lineRule="auto"/>
              <w:ind w:left="1440" w:hanging="36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lessico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before="120" w:line="240" w:lineRule="auto"/>
              <w:ind w:left="1440" w:hanging="36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ricezione orale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before="120" w:line="240" w:lineRule="auto"/>
              <w:ind w:left="1440" w:hanging="36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produzione orale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before="120" w:line="240" w:lineRule="auto"/>
              <w:ind w:left="1440" w:hanging="36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ricezione scritta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before="120" w:line="240" w:lineRule="auto"/>
              <w:ind w:left="1440" w:hanging="360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produzione scritta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120" w:before="120" w:line="240" w:lineRule="auto"/>
              <w:ind w:left="1434" w:hanging="357"/>
              <w:rPr>
                <w:rFonts w:ascii="Calibri" w:cs="Calibri" w:eastAsia="Calibri" w:hAnsi="Calibri"/>
                <w:i w:val="1"/>
                <w:color w:val="3b323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abilità integrate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Lessico fondamentale della disciplina (come previsto nella colonna precedente). </w:t>
            </w:r>
          </w:p>
          <w:p w:rsidR="00000000" w:rsidDel="00000000" w:rsidP="00000000" w:rsidRDefault="00000000" w:rsidRPr="00000000" w14:paraId="00000040">
            <w:pPr>
              <w:spacing w:after="120" w:before="120" w:line="240" w:lineRule="auto"/>
              <w:rPr>
                <w:rFonts w:ascii="Calibri" w:cs="Calibri" w:eastAsia="Calibri" w:hAnsi="Calibri"/>
                <w:color w:val="3b323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L’insegnante opererà una scelta dei contenuti fra quelli previsti nei Piani di studio provinciali, tenendo conto anche del contesto della classe.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  <w:rtl w:val="0"/>
              </w:rPr>
              <w:t xml:space="preserve">Metodologie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b3232"/>
                <w:sz w:val="24"/>
                <w:szCs w:val="24"/>
                <w:highlight w:val="white"/>
                <w:rtl w:val="0"/>
              </w:rPr>
              <w:t xml:space="preserve">Verifiche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Strumenti e metodologie utilizzate.</w:t>
            </w:r>
          </w:p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i w:val="1"/>
                <w:color w:val="3b32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widowControl w:val="0"/>
              <w:spacing w:after="120" w:before="120" w:line="240" w:lineRule="auto"/>
              <w:rPr>
                <w:rFonts w:ascii="Calibri" w:cs="Calibri" w:eastAsia="Calibri" w:hAnsi="Calibri"/>
                <w:color w:val="3b323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3b3232"/>
                <w:highlight w:val="white"/>
                <w:rtl w:val="0"/>
              </w:rPr>
              <w:t xml:space="preserve">Modalità di verifica adottate.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Ebrima"/>
  <w:font w:name="Teko">
    <w:embedRegular w:fontKey="{00000000-0000-0000-0000-000000000000}" r:id="rId7" w:subsetted="0"/>
    <w:embedBold w:fontKey="{00000000-0000-0000-0000-000000000000}" r:id="rId8" w:subsetted="0"/>
  </w:font>
  <w:font w:name="Meiryo UI"/>
  <w:font w:name="Arial Narrow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eko" w:cs="Teko" w:eastAsia="Teko" w:hAnsi="Teko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eko" w:cs="Teko" w:eastAsia="Teko" w:hAnsi="Teko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53DEA"/>
    <w:pPr>
      <w:spacing w:after="200" w:line="276" w:lineRule="auto"/>
    </w:pPr>
    <w:rPr>
      <w:rFonts w:ascii="Agency FB" w:cs="Arial" w:hAnsi="Agency FB"/>
    </w:rPr>
  </w:style>
  <w:style w:type="paragraph" w:styleId="Heading1">
    <w:name w:val="heading 1"/>
    <w:basedOn w:val="normal0"/>
    <w:next w:val="normal0"/>
    <w:link w:val="Heading1Char"/>
    <w:uiPriority w:val="99"/>
    <w:qFormat w:val="1"/>
    <w:rsid w:val="00DE005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DE005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DE005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DE005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DE0055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DE005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DD55E4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DD55E4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DD55E4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DD55E4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DD55E4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DD55E4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DE0055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DE0055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DD55E4"/>
    <w:rPr>
      <w:rFonts w:ascii="Cambria" w:cs="Times New Roman" w:hAnsi="Cambria"/>
      <w:b w:val="1"/>
      <w:bCs w:val="1"/>
      <w:kern w:val="28"/>
      <w:sz w:val="32"/>
      <w:szCs w:val="32"/>
    </w:rPr>
  </w:style>
  <w:style w:type="table" w:styleId="TableGrid">
    <w:name w:val="Table Grid"/>
    <w:basedOn w:val="TableNormal"/>
    <w:uiPriority w:val="99"/>
    <w:rsid w:val="00953DEA"/>
    <w:rPr>
      <w:rFonts w:ascii="Agency FB" w:cs="Arial" w:hAnsi="Agency FB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ableContents" w:customStyle="1">
    <w:name w:val="Table Contents"/>
    <w:basedOn w:val="Normal"/>
    <w:uiPriority w:val="99"/>
    <w:rsid w:val="00953DEA"/>
    <w:pPr>
      <w:widowControl w:val="0"/>
      <w:suppressLineNumbers w:val="1"/>
      <w:suppressAutoHyphens w:val="1"/>
      <w:spacing w:after="0" w:line="240" w:lineRule="auto"/>
      <w:textAlignment w:val="baseline"/>
    </w:pPr>
    <w:rPr>
      <w:rFonts w:ascii="Times New Roman" w:cs="Tahoma" w:eastAsia="Arial Unicode MS" w:hAnsi="Times New Roman"/>
      <w:kern w:val="1"/>
      <w:sz w:val="24"/>
      <w:szCs w:val="24"/>
      <w:lang w:bidi="hi-IN" w:eastAsia="zh-CN"/>
    </w:rPr>
  </w:style>
  <w:style w:type="paragraph" w:styleId="ListParagraph">
    <w:name w:val="List Paragraph"/>
    <w:basedOn w:val="Normal"/>
    <w:uiPriority w:val="99"/>
    <w:qFormat w:val="1"/>
    <w:rsid w:val="00953DEA"/>
    <w:pPr>
      <w:ind w:left="720"/>
      <w:contextualSpacing w:val="1"/>
    </w:pPr>
  </w:style>
  <w:style w:type="paragraph" w:styleId="Subtitle">
    <w:name w:val="Subtitle"/>
    <w:basedOn w:val="normal0"/>
    <w:next w:val="normal0"/>
    <w:link w:val="SubtitleChar"/>
    <w:uiPriority w:val="99"/>
    <w:qFormat w:val="1"/>
    <w:rsid w:val="00DE0055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DD55E4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DE0055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rsid w:val="00DD1EB4"/>
    <w:pPr>
      <w:tabs>
        <w:tab w:val="center" w:pos="4819"/>
        <w:tab w:val="right" w:pos="9638"/>
      </w:tabs>
      <w:spacing w:after="0" w:line="240" w:lineRule="auto"/>
    </w:pPr>
    <w:rPr>
      <w:rFonts w:ascii="Calibri" w:cs="Times New Roman" w:hAnsi="Calibr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DD1EB4"/>
    <w:rPr>
      <w:rFonts w:ascii="Calibri" w:cs="Times New Roman" w:hAnsi="Calibri"/>
      <w:sz w:val="22"/>
      <w:szCs w:val="22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customXml" Target="../customXML/item1.xml"/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6.jpg"/><Relationship Id="rId9" Type="http://schemas.openxmlformats.org/officeDocument/2006/relationships/fontTable" Target="fontTable.xml"/><Relationship Id="rId5" Type="http://schemas.openxmlformats.org/officeDocument/2006/relationships/image" Target="media/image5.jpg"/><Relationship Id="rId6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ArialNarrow-italic.ttf"/><Relationship Id="rId10" Type="http://schemas.openxmlformats.org/officeDocument/2006/relationships/font" Target="fonts/ArialNarrow-bold.ttf"/><Relationship Id="rId12" Type="http://schemas.openxmlformats.org/officeDocument/2006/relationships/font" Target="fonts/ArialNarrow-boldItalic.ttf"/><Relationship Id="rId9" Type="http://schemas.openxmlformats.org/officeDocument/2006/relationships/font" Target="fonts/ArialNarrow-regular.ttf"/><Relationship Id="rId7" Type="http://schemas.openxmlformats.org/officeDocument/2006/relationships/font" Target="fonts/Teko-regular.ttf"/><Relationship Id="rId8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BkENAkdK3zCNWHThYFc6b3+faA==">AMUW2mU/A7NkWwp4EgQyLFN/yAugKJwgZn8MeP301B6ABtSn/qxTDnHvXnaHblhSMGhDXOtGvyPwkm+amhUOaX6JEsBCY1NGo+H5Dz/VaNzwVas5JFG3HB4wp6R8t7AuhtP8YPWiM2iI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2021-02-25T16:33:00Z</dcterms:created>
  <dc:creator>Alessandro</dc:creator>
</cp:coreProperties>
</file>